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B52FE" w14:textId="77777777" w:rsidR="0050399F" w:rsidRPr="00E31B02" w:rsidRDefault="0050399F" w:rsidP="0050399F">
      <w:pPr>
        <w:rPr>
          <w:b/>
          <w:bCs/>
          <w:sz w:val="28"/>
          <w:szCs w:val="28"/>
        </w:rPr>
      </w:pPr>
      <w:r w:rsidRPr="00E31B02">
        <w:rPr>
          <w:b/>
          <w:bCs/>
          <w:sz w:val="28"/>
          <w:szCs w:val="28"/>
        </w:rPr>
        <w:t>Labour’s proposed disability benefit cuts – s</w:t>
      </w:r>
      <w:r>
        <w:rPr>
          <w:b/>
          <w:bCs/>
          <w:sz w:val="28"/>
          <w:szCs w:val="28"/>
        </w:rPr>
        <w:t>cale</w:t>
      </w:r>
      <w:r w:rsidRPr="00E31B02">
        <w:rPr>
          <w:b/>
          <w:bCs/>
          <w:sz w:val="28"/>
          <w:szCs w:val="28"/>
        </w:rPr>
        <w:t xml:space="preserve"> and impact</w:t>
      </w:r>
    </w:p>
    <w:tbl>
      <w:tblPr>
        <w:tblStyle w:val="TableGrid"/>
        <w:tblW w:w="0" w:type="auto"/>
        <w:tblLook w:val="04A0" w:firstRow="1" w:lastRow="0" w:firstColumn="1" w:lastColumn="0" w:noHBand="0" w:noVBand="1"/>
      </w:tblPr>
      <w:tblGrid>
        <w:gridCol w:w="1518"/>
        <w:gridCol w:w="1236"/>
        <w:gridCol w:w="1336"/>
        <w:gridCol w:w="4926"/>
      </w:tblGrid>
      <w:tr w:rsidR="005A1D79" w:rsidRPr="006E6B90" w14:paraId="2CAF4FC0" w14:textId="77777777" w:rsidTr="0070139F">
        <w:tc>
          <w:tcPr>
            <w:tcW w:w="1405" w:type="dxa"/>
          </w:tcPr>
          <w:p w14:paraId="691C04AC" w14:textId="59C71540" w:rsidR="006E6B90" w:rsidRPr="00665E43" w:rsidRDefault="00A91E4B">
            <w:pPr>
              <w:rPr>
                <w:b/>
                <w:bCs/>
                <w:sz w:val="24"/>
                <w:szCs w:val="24"/>
              </w:rPr>
            </w:pPr>
            <w:r w:rsidRPr="00665E43">
              <w:rPr>
                <w:b/>
                <w:bCs/>
                <w:sz w:val="24"/>
                <w:szCs w:val="24"/>
              </w:rPr>
              <w:t>Cut</w:t>
            </w:r>
          </w:p>
        </w:tc>
        <w:tc>
          <w:tcPr>
            <w:tcW w:w="1241" w:type="dxa"/>
          </w:tcPr>
          <w:p w14:paraId="72EC3464" w14:textId="44C02FD2" w:rsidR="006E6B90" w:rsidRPr="00665E43" w:rsidRDefault="00A91E4B">
            <w:pPr>
              <w:rPr>
                <w:b/>
                <w:bCs/>
                <w:sz w:val="24"/>
                <w:szCs w:val="24"/>
              </w:rPr>
            </w:pPr>
            <w:r w:rsidRPr="00665E43">
              <w:rPr>
                <w:b/>
                <w:bCs/>
                <w:sz w:val="24"/>
                <w:szCs w:val="24"/>
              </w:rPr>
              <w:t>Size</w:t>
            </w:r>
          </w:p>
        </w:tc>
        <w:tc>
          <w:tcPr>
            <w:tcW w:w="1336" w:type="dxa"/>
          </w:tcPr>
          <w:p w14:paraId="6AA2CE78" w14:textId="6BF9A56F" w:rsidR="006E6B90" w:rsidRPr="00665E43" w:rsidRDefault="00A91E4B">
            <w:pPr>
              <w:rPr>
                <w:b/>
                <w:bCs/>
                <w:sz w:val="24"/>
                <w:szCs w:val="24"/>
              </w:rPr>
            </w:pPr>
            <w:r w:rsidRPr="00665E43">
              <w:rPr>
                <w:b/>
                <w:bCs/>
                <w:sz w:val="24"/>
                <w:szCs w:val="24"/>
              </w:rPr>
              <w:t>Numbers impacted</w:t>
            </w:r>
          </w:p>
        </w:tc>
        <w:tc>
          <w:tcPr>
            <w:tcW w:w="5034" w:type="dxa"/>
          </w:tcPr>
          <w:p w14:paraId="02D7D266" w14:textId="080C7C5F" w:rsidR="006E6B90" w:rsidRPr="00665E43" w:rsidRDefault="00A91E4B">
            <w:pPr>
              <w:rPr>
                <w:b/>
                <w:bCs/>
                <w:sz w:val="24"/>
                <w:szCs w:val="24"/>
              </w:rPr>
            </w:pPr>
            <w:r w:rsidRPr="00665E43">
              <w:rPr>
                <w:b/>
                <w:bCs/>
                <w:sz w:val="24"/>
                <w:szCs w:val="24"/>
              </w:rPr>
              <w:t>Published info</w:t>
            </w:r>
          </w:p>
        </w:tc>
      </w:tr>
      <w:tr w:rsidR="005A1D79" w:rsidRPr="006E6B90" w14:paraId="2EB3EE4C" w14:textId="77777777" w:rsidTr="0070139F">
        <w:tc>
          <w:tcPr>
            <w:tcW w:w="1405" w:type="dxa"/>
          </w:tcPr>
          <w:p w14:paraId="3491BE1D" w14:textId="571905A0" w:rsidR="003A2874" w:rsidRDefault="003A2874">
            <w:pPr>
              <w:rPr>
                <w:sz w:val="24"/>
                <w:szCs w:val="24"/>
              </w:rPr>
            </w:pPr>
            <w:r>
              <w:rPr>
                <w:sz w:val="24"/>
                <w:szCs w:val="24"/>
              </w:rPr>
              <w:t xml:space="preserve">Green paper </w:t>
            </w:r>
            <w:r w:rsidR="00DD0456">
              <w:rPr>
                <w:sz w:val="24"/>
                <w:szCs w:val="24"/>
              </w:rPr>
              <w:t>proposals</w:t>
            </w:r>
          </w:p>
          <w:p w14:paraId="49004AF3" w14:textId="0EE66842" w:rsidR="003A2874" w:rsidRDefault="003A2874">
            <w:pPr>
              <w:rPr>
                <w:sz w:val="24"/>
                <w:szCs w:val="24"/>
              </w:rPr>
            </w:pPr>
          </w:p>
        </w:tc>
        <w:tc>
          <w:tcPr>
            <w:tcW w:w="1241" w:type="dxa"/>
          </w:tcPr>
          <w:p w14:paraId="2B483960" w14:textId="3AD3C71B" w:rsidR="003A2874" w:rsidRDefault="006B68B9">
            <w:pPr>
              <w:rPr>
                <w:sz w:val="24"/>
                <w:szCs w:val="24"/>
              </w:rPr>
            </w:pPr>
            <w:r>
              <w:rPr>
                <w:sz w:val="24"/>
                <w:szCs w:val="24"/>
              </w:rPr>
              <w:t xml:space="preserve">At least </w:t>
            </w:r>
            <w:r w:rsidR="00DD0456">
              <w:rPr>
                <w:sz w:val="24"/>
                <w:szCs w:val="24"/>
              </w:rPr>
              <w:t>£9 billion</w:t>
            </w:r>
          </w:p>
        </w:tc>
        <w:tc>
          <w:tcPr>
            <w:tcW w:w="1336" w:type="dxa"/>
          </w:tcPr>
          <w:p w14:paraId="58570C73" w14:textId="77777777" w:rsidR="006B68B9" w:rsidRDefault="003A2874">
            <w:pPr>
              <w:rPr>
                <w:sz w:val="24"/>
                <w:szCs w:val="24"/>
              </w:rPr>
            </w:pPr>
            <w:hyperlink r:id="rId8" w:history="1">
              <w:r w:rsidRPr="006B68B9">
                <w:rPr>
                  <w:rStyle w:val="Hyperlink"/>
                  <w:sz w:val="24"/>
                  <w:szCs w:val="24"/>
                </w:rPr>
                <w:t>350,000 to 400,000</w:t>
              </w:r>
            </w:hyperlink>
            <w:r>
              <w:rPr>
                <w:sz w:val="24"/>
                <w:szCs w:val="24"/>
              </w:rPr>
              <w:t xml:space="preserve"> </w:t>
            </w:r>
            <w:r w:rsidR="006B68B9">
              <w:rPr>
                <w:sz w:val="24"/>
                <w:szCs w:val="24"/>
              </w:rPr>
              <w:t xml:space="preserve">additional households to be </w:t>
            </w:r>
            <w:r w:rsidR="002C7460">
              <w:rPr>
                <w:sz w:val="24"/>
                <w:szCs w:val="24"/>
              </w:rPr>
              <w:t>pushed into poverty</w:t>
            </w:r>
            <w:r w:rsidR="006B68B9">
              <w:rPr>
                <w:sz w:val="24"/>
                <w:szCs w:val="24"/>
              </w:rPr>
              <w:t>.</w:t>
            </w:r>
          </w:p>
          <w:p w14:paraId="5BCB8443" w14:textId="03FE92EC" w:rsidR="003A2874" w:rsidRDefault="002C7460">
            <w:r>
              <w:rPr>
                <w:sz w:val="24"/>
                <w:szCs w:val="24"/>
              </w:rPr>
              <w:t xml:space="preserve"> </w:t>
            </w:r>
          </w:p>
          <w:p w14:paraId="0CCDDD56" w14:textId="68137804" w:rsidR="006B68B9" w:rsidRDefault="006B68B9">
            <w:pPr>
              <w:rPr>
                <w:sz w:val="24"/>
                <w:szCs w:val="24"/>
              </w:rPr>
            </w:pPr>
            <w:r w:rsidRPr="006B68B9">
              <w:rPr>
                <w:sz w:val="24"/>
                <w:szCs w:val="24"/>
              </w:rPr>
              <w:t>A</w:t>
            </w:r>
            <w:r>
              <w:rPr>
                <w:sz w:val="24"/>
                <w:szCs w:val="24"/>
              </w:rPr>
              <w:t xml:space="preserve">t least </w:t>
            </w:r>
            <w:r w:rsidRPr="006B68B9">
              <w:rPr>
                <w:sz w:val="24"/>
                <w:szCs w:val="24"/>
              </w:rPr>
              <w:t>150,000 carers to lose carers’ benefits.</w:t>
            </w:r>
          </w:p>
        </w:tc>
        <w:tc>
          <w:tcPr>
            <w:tcW w:w="5034" w:type="dxa"/>
          </w:tcPr>
          <w:p w14:paraId="7F3A1C3A" w14:textId="1EB99BCF" w:rsidR="00DD0456" w:rsidRDefault="00DD0456">
            <w:pPr>
              <w:rPr>
                <w:sz w:val="24"/>
                <w:szCs w:val="24"/>
              </w:rPr>
            </w:pPr>
            <w:r w:rsidRPr="00DD0456">
              <w:rPr>
                <w:sz w:val="24"/>
                <w:szCs w:val="24"/>
              </w:rPr>
              <w:t xml:space="preserve">Includes proposed PIP cut and changes to UC rate </w:t>
            </w:r>
            <w:r w:rsidRPr="001F1DA9">
              <w:rPr>
                <w:b/>
                <w:bCs/>
                <w:sz w:val="24"/>
                <w:szCs w:val="24"/>
              </w:rPr>
              <w:t>but not several other proposed measures</w:t>
            </w:r>
            <w:r w:rsidRPr="00DD0456">
              <w:rPr>
                <w:sz w:val="24"/>
                <w:szCs w:val="24"/>
              </w:rPr>
              <w:t xml:space="preserve"> as below</w:t>
            </w:r>
            <w:r>
              <w:rPr>
                <w:sz w:val="24"/>
                <w:szCs w:val="24"/>
              </w:rPr>
              <w:t>.</w:t>
            </w:r>
          </w:p>
          <w:p w14:paraId="0EDFDD8B" w14:textId="4B5FC199" w:rsidR="001F1DA9" w:rsidRDefault="006B68B9">
            <w:pPr>
              <w:rPr>
                <w:sz w:val="24"/>
                <w:szCs w:val="24"/>
              </w:rPr>
            </w:pPr>
            <w:r>
              <w:rPr>
                <w:sz w:val="24"/>
                <w:szCs w:val="24"/>
              </w:rPr>
              <w:t>Report</w:t>
            </w:r>
            <w:r w:rsidR="002C7460">
              <w:rPr>
                <w:sz w:val="24"/>
                <w:szCs w:val="24"/>
              </w:rPr>
              <w:t xml:space="preserve">ed figures </w:t>
            </w:r>
            <w:r>
              <w:rPr>
                <w:sz w:val="24"/>
                <w:szCs w:val="24"/>
              </w:rPr>
              <w:t>include</w:t>
            </w:r>
            <w:r w:rsidR="00DD0456">
              <w:rPr>
                <w:sz w:val="24"/>
                <w:szCs w:val="24"/>
              </w:rPr>
              <w:t xml:space="preserve"> a cut of £4.8 billion by 2029/30 </w:t>
            </w:r>
            <w:r>
              <w:rPr>
                <w:sz w:val="24"/>
                <w:szCs w:val="24"/>
              </w:rPr>
              <w:t>pushing an additional</w:t>
            </w:r>
            <w:r w:rsidR="00DD0456">
              <w:rPr>
                <w:sz w:val="24"/>
                <w:szCs w:val="24"/>
              </w:rPr>
              <w:t xml:space="preserve"> </w:t>
            </w:r>
            <w:r w:rsidR="00B50049">
              <w:rPr>
                <w:sz w:val="24"/>
                <w:szCs w:val="24"/>
              </w:rPr>
              <w:t xml:space="preserve">250,000 </w:t>
            </w:r>
            <w:r w:rsidR="00DD0456">
              <w:rPr>
                <w:sz w:val="24"/>
                <w:szCs w:val="24"/>
              </w:rPr>
              <w:t xml:space="preserve">(including 50,000 children) </w:t>
            </w:r>
            <w:r>
              <w:rPr>
                <w:sz w:val="24"/>
                <w:szCs w:val="24"/>
              </w:rPr>
              <w:t xml:space="preserve">into poverty </w:t>
            </w:r>
            <w:r w:rsidR="002C7460">
              <w:rPr>
                <w:sz w:val="24"/>
                <w:szCs w:val="24"/>
              </w:rPr>
              <w:t>to be pushed into poverty</w:t>
            </w:r>
            <w:r w:rsidR="00B50049">
              <w:rPr>
                <w:sz w:val="24"/>
                <w:szCs w:val="24"/>
              </w:rPr>
              <w:t xml:space="preserve"> </w:t>
            </w:r>
            <w:r w:rsidR="001F1DA9">
              <w:rPr>
                <w:sz w:val="24"/>
                <w:szCs w:val="24"/>
              </w:rPr>
              <w:t xml:space="preserve">as </w:t>
            </w:r>
            <w:r w:rsidR="00B50049">
              <w:rPr>
                <w:sz w:val="24"/>
                <w:szCs w:val="24"/>
              </w:rPr>
              <w:t xml:space="preserve">cited in </w:t>
            </w:r>
            <w:hyperlink r:id="rId9" w:history="1">
              <w:r w:rsidR="00B50049" w:rsidRPr="00F60831">
                <w:rPr>
                  <w:rStyle w:val="Hyperlink"/>
                  <w:sz w:val="24"/>
                  <w:szCs w:val="24"/>
                </w:rPr>
                <w:t>DWP impact assessment</w:t>
              </w:r>
            </w:hyperlink>
            <w:r w:rsidR="001F1DA9">
              <w:rPr>
                <w:sz w:val="24"/>
                <w:szCs w:val="24"/>
              </w:rPr>
              <w:t xml:space="preserve">. </w:t>
            </w:r>
          </w:p>
          <w:p w14:paraId="49410736" w14:textId="77777777" w:rsidR="006B68B9" w:rsidRDefault="001F1DA9">
            <w:pPr>
              <w:rPr>
                <w:sz w:val="24"/>
                <w:szCs w:val="24"/>
              </w:rPr>
            </w:pPr>
            <w:r>
              <w:rPr>
                <w:sz w:val="24"/>
                <w:szCs w:val="24"/>
              </w:rPr>
              <w:t xml:space="preserve">The £4.8 billion </w:t>
            </w:r>
            <w:r w:rsidR="006B68B9">
              <w:rPr>
                <w:sz w:val="24"/>
                <w:szCs w:val="24"/>
              </w:rPr>
              <w:t xml:space="preserve">was calculated </w:t>
            </w:r>
            <w:proofErr w:type="gramStart"/>
            <w:r w:rsidR="006B68B9">
              <w:rPr>
                <w:sz w:val="24"/>
                <w:szCs w:val="24"/>
              </w:rPr>
              <w:t>on the basis of</w:t>
            </w:r>
            <w:proofErr w:type="gramEnd"/>
            <w:r w:rsidR="006B68B9">
              <w:rPr>
                <w:sz w:val="24"/>
                <w:szCs w:val="24"/>
              </w:rPr>
              <w:t xml:space="preserve"> b</w:t>
            </w:r>
            <w:r>
              <w:rPr>
                <w:sz w:val="24"/>
                <w:szCs w:val="24"/>
              </w:rPr>
              <w:t xml:space="preserve">ehaviour changes that may never happen (see below under PIP cuts). </w:t>
            </w:r>
            <w:r w:rsidR="006B68B9">
              <w:rPr>
                <w:sz w:val="24"/>
                <w:szCs w:val="24"/>
              </w:rPr>
              <w:t xml:space="preserve">This is different to the static, on-paper cut that most people assume this represents. The static cut is at least </w:t>
            </w:r>
            <w:r>
              <w:rPr>
                <w:sz w:val="24"/>
                <w:szCs w:val="24"/>
              </w:rPr>
              <w:t>£9 billion</w:t>
            </w:r>
            <w:r w:rsidR="006B68B9">
              <w:rPr>
                <w:sz w:val="24"/>
                <w:szCs w:val="24"/>
              </w:rPr>
              <w:t>.</w:t>
            </w:r>
          </w:p>
          <w:p w14:paraId="4D4EDF73" w14:textId="3F982AD2" w:rsidR="006B68B9" w:rsidRDefault="006B68B9">
            <w:pPr>
              <w:rPr>
                <w:sz w:val="24"/>
                <w:szCs w:val="24"/>
              </w:rPr>
            </w:pPr>
            <w:r>
              <w:rPr>
                <w:sz w:val="24"/>
                <w:szCs w:val="24"/>
              </w:rPr>
              <w:t>The poverty impacts have been calculated by deducting 150,000 from the total number of additional households that will be pushed into poverty according to the £4.8 billion figure. This is the number of households who would have been pushed into poverty by p</w:t>
            </w:r>
            <w:r w:rsidR="005A1D79">
              <w:rPr>
                <w:sz w:val="24"/>
                <w:szCs w:val="24"/>
              </w:rPr>
              <w:t>lans</w:t>
            </w:r>
            <w:r>
              <w:rPr>
                <w:sz w:val="24"/>
                <w:szCs w:val="24"/>
              </w:rPr>
              <w:t xml:space="preserve"> to make interim changes to the Work Capability Assessment (WCA)</w:t>
            </w:r>
            <w:r w:rsidR="005A1D79">
              <w:rPr>
                <w:sz w:val="24"/>
                <w:szCs w:val="24"/>
              </w:rPr>
              <w:t xml:space="preserve"> proposed by the previous government that never happened.</w:t>
            </w:r>
          </w:p>
          <w:p w14:paraId="50B0EE54" w14:textId="50C44D7F" w:rsidR="00EA7E22" w:rsidRDefault="00EA7E22" w:rsidP="005A1D79">
            <w:pPr>
              <w:rPr>
                <w:sz w:val="24"/>
                <w:szCs w:val="24"/>
              </w:rPr>
            </w:pPr>
          </w:p>
        </w:tc>
      </w:tr>
      <w:tr w:rsidR="005A1D79" w:rsidRPr="006E6B90" w14:paraId="298274A7" w14:textId="77777777" w:rsidTr="0070139F">
        <w:tc>
          <w:tcPr>
            <w:tcW w:w="1405" w:type="dxa"/>
          </w:tcPr>
          <w:p w14:paraId="5C93312C" w14:textId="310BE187" w:rsidR="006E6B90" w:rsidRPr="006E6B90" w:rsidRDefault="00A91E4B">
            <w:pPr>
              <w:rPr>
                <w:sz w:val="24"/>
                <w:szCs w:val="24"/>
              </w:rPr>
            </w:pPr>
            <w:r>
              <w:rPr>
                <w:sz w:val="24"/>
                <w:szCs w:val="24"/>
              </w:rPr>
              <w:t>PIP – daily living component to require 4 scored points in at least one area</w:t>
            </w:r>
          </w:p>
        </w:tc>
        <w:tc>
          <w:tcPr>
            <w:tcW w:w="1241" w:type="dxa"/>
          </w:tcPr>
          <w:p w14:paraId="15D24D36" w14:textId="06B5713A" w:rsidR="006E6B90" w:rsidRPr="006E6B90" w:rsidRDefault="005A1D79">
            <w:pPr>
              <w:rPr>
                <w:sz w:val="24"/>
                <w:szCs w:val="24"/>
              </w:rPr>
            </w:pPr>
            <w:r>
              <w:rPr>
                <w:sz w:val="24"/>
                <w:szCs w:val="24"/>
              </w:rPr>
              <w:t>Between £7.9 and £9 billion per year by 2029/30</w:t>
            </w:r>
          </w:p>
        </w:tc>
        <w:tc>
          <w:tcPr>
            <w:tcW w:w="1336" w:type="dxa"/>
          </w:tcPr>
          <w:p w14:paraId="3FE8DD7E" w14:textId="03FB2E42" w:rsidR="006E6B90" w:rsidRPr="006E6B90" w:rsidRDefault="00A91E4B">
            <w:pPr>
              <w:rPr>
                <w:sz w:val="24"/>
                <w:szCs w:val="24"/>
              </w:rPr>
            </w:pPr>
            <w:r>
              <w:rPr>
                <w:sz w:val="24"/>
                <w:szCs w:val="24"/>
              </w:rPr>
              <w:t>1.</w:t>
            </w:r>
            <w:r w:rsidR="005A1D79">
              <w:rPr>
                <w:sz w:val="24"/>
                <w:szCs w:val="24"/>
              </w:rPr>
              <w:t>32</w:t>
            </w:r>
            <w:r>
              <w:rPr>
                <w:sz w:val="24"/>
                <w:szCs w:val="24"/>
              </w:rPr>
              <w:t>5 million</w:t>
            </w:r>
            <w:r w:rsidR="0070139F">
              <w:rPr>
                <w:sz w:val="24"/>
                <w:szCs w:val="24"/>
              </w:rPr>
              <w:t xml:space="preserve"> existing </w:t>
            </w:r>
            <w:proofErr w:type="gramStart"/>
            <w:r w:rsidR="005A1D79">
              <w:rPr>
                <w:sz w:val="24"/>
                <w:szCs w:val="24"/>
              </w:rPr>
              <w:t xml:space="preserve">claimant </w:t>
            </w:r>
            <w:r w:rsidR="0070139F">
              <w:rPr>
                <w:sz w:val="24"/>
                <w:szCs w:val="24"/>
              </w:rPr>
              <w:t xml:space="preserve"> plus</w:t>
            </w:r>
            <w:proofErr w:type="gramEnd"/>
            <w:r w:rsidR="0070139F">
              <w:rPr>
                <w:sz w:val="24"/>
                <w:szCs w:val="24"/>
              </w:rPr>
              <w:t xml:space="preserve"> 58% of new applicants </w:t>
            </w:r>
          </w:p>
        </w:tc>
        <w:tc>
          <w:tcPr>
            <w:tcW w:w="5034" w:type="dxa"/>
          </w:tcPr>
          <w:p w14:paraId="065EE8BF" w14:textId="225FAE6F" w:rsidR="002C7460" w:rsidRDefault="002C7460">
            <w:pPr>
              <w:rPr>
                <w:sz w:val="24"/>
                <w:szCs w:val="24"/>
              </w:rPr>
            </w:pPr>
            <w:r>
              <w:rPr>
                <w:sz w:val="24"/>
                <w:szCs w:val="24"/>
              </w:rPr>
              <w:t>Average losses of £4500 a year.</w:t>
            </w:r>
          </w:p>
          <w:p w14:paraId="1D50A678" w14:textId="18DE249C" w:rsidR="005A1D79" w:rsidRDefault="005A1D79">
            <w:pPr>
              <w:rPr>
                <w:sz w:val="24"/>
                <w:szCs w:val="24"/>
              </w:rPr>
            </w:pPr>
            <w:r>
              <w:rPr>
                <w:sz w:val="24"/>
                <w:szCs w:val="24"/>
              </w:rPr>
              <w:t>1.325 million existing PIP claimants in receipt of the daily living component did not score four points in any area.</w:t>
            </w:r>
          </w:p>
          <w:p w14:paraId="6B880230" w14:textId="5B566AEB" w:rsidR="006E6B90" w:rsidRDefault="001F1DA9">
            <w:pPr>
              <w:rPr>
                <w:sz w:val="24"/>
                <w:szCs w:val="24"/>
              </w:rPr>
            </w:pPr>
            <w:r>
              <w:rPr>
                <w:sz w:val="24"/>
                <w:szCs w:val="24"/>
              </w:rPr>
              <w:t xml:space="preserve">The publicised figure of 800,000 to lose out is what the OBR are predicting after accounting for behaviour changes </w:t>
            </w:r>
            <w:r w:rsidR="00A91E4B">
              <w:rPr>
                <w:sz w:val="24"/>
                <w:szCs w:val="24"/>
              </w:rPr>
              <w:t>such as people trying harder to reach 4 points</w:t>
            </w:r>
            <w:r w:rsidR="005A1D79">
              <w:rPr>
                <w:sz w:val="24"/>
                <w:szCs w:val="24"/>
              </w:rPr>
              <w:t xml:space="preserve"> and more MPs/appeals</w:t>
            </w:r>
            <w:r w:rsidR="00A91E4B">
              <w:rPr>
                <w:sz w:val="24"/>
                <w:szCs w:val="24"/>
              </w:rPr>
              <w:t>.</w:t>
            </w:r>
          </w:p>
          <w:p w14:paraId="77FC491E" w14:textId="39F7F022" w:rsidR="00665E43" w:rsidRDefault="00A91E4B">
            <w:pPr>
              <w:rPr>
                <w:sz w:val="24"/>
                <w:szCs w:val="24"/>
              </w:rPr>
            </w:pPr>
            <w:r>
              <w:rPr>
                <w:sz w:val="24"/>
                <w:szCs w:val="24"/>
              </w:rPr>
              <w:t xml:space="preserve">But these may not happen especially as there are few areas under daily living where people with </w:t>
            </w:r>
            <w:r w:rsidR="005A1D79">
              <w:rPr>
                <w:sz w:val="24"/>
                <w:szCs w:val="24"/>
              </w:rPr>
              <w:t xml:space="preserve">certain conditions </w:t>
            </w:r>
            <w:r>
              <w:rPr>
                <w:sz w:val="24"/>
                <w:szCs w:val="24"/>
              </w:rPr>
              <w:t>can score points</w:t>
            </w:r>
            <w:r w:rsidR="00665E43">
              <w:rPr>
                <w:sz w:val="24"/>
                <w:szCs w:val="24"/>
              </w:rPr>
              <w:t>.</w:t>
            </w:r>
          </w:p>
          <w:p w14:paraId="3B3539E7" w14:textId="02BAB0AB" w:rsidR="005A1D79" w:rsidRDefault="005A1D79">
            <w:pPr>
              <w:rPr>
                <w:sz w:val="24"/>
                <w:szCs w:val="24"/>
              </w:rPr>
            </w:pPr>
            <w:r>
              <w:rPr>
                <w:sz w:val="24"/>
                <w:szCs w:val="24"/>
              </w:rPr>
              <w:t xml:space="preserve">Even is not </w:t>
            </w:r>
            <w:proofErr w:type="gramStart"/>
            <w:r>
              <w:rPr>
                <w:sz w:val="24"/>
                <w:szCs w:val="24"/>
              </w:rPr>
              <w:t>all of</w:t>
            </w:r>
            <w:proofErr w:type="gramEnd"/>
            <w:r>
              <w:rPr>
                <w:sz w:val="24"/>
                <w:szCs w:val="24"/>
              </w:rPr>
              <w:t xml:space="preserve"> the 1.325 million end up with a benefit cut, they will nevertheless be adversely impacted by considerable additional anxiety and distress through being at risk of a loss, having to endure reassessment and any potential need to apply for an MR or both MR and appeal.</w:t>
            </w:r>
          </w:p>
          <w:p w14:paraId="7075FB4C" w14:textId="1FB2DBFA" w:rsidR="005A1D79" w:rsidRDefault="005A1D79">
            <w:pPr>
              <w:rPr>
                <w:sz w:val="24"/>
                <w:szCs w:val="24"/>
              </w:rPr>
            </w:pPr>
            <w:r>
              <w:rPr>
                <w:sz w:val="24"/>
                <w:szCs w:val="24"/>
              </w:rPr>
              <w:lastRenderedPageBreak/>
              <w:t>Existing claimants who did score four points will also be at greater risk of losing their PIP and therefore subject to increase anxiety and stress.</w:t>
            </w:r>
          </w:p>
          <w:p w14:paraId="6386128C" w14:textId="0AD49D8F" w:rsidR="0070139F" w:rsidRPr="006E6B90" w:rsidRDefault="0070139F" w:rsidP="005A1D79">
            <w:pPr>
              <w:rPr>
                <w:sz w:val="24"/>
                <w:szCs w:val="24"/>
              </w:rPr>
            </w:pPr>
          </w:p>
        </w:tc>
      </w:tr>
      <w:tr w:rsidR="005A1D79" w:rsidRPr="006E6B90" w14:paraId="3A61ECC5" w14:textId="77777777" w:rsidTr="0070139F">
        <w:tc>
          <w:tcPr>
            <w:tcW w:w="1405" w:type="dxa"/>
          </w:tcPr>
          <w:p w14:paraId="45921883" w14:textId="669B1C7E" w:rsidR="001C4CF8" w:rsidRDefault="001C4CF8">
            <w:pPr>
              <w:rPr>
                <w:sz w:val="24"/>
                <w:szCs w:val="24"/>
              </w:rPr>
            </w:pPr>
            <w:r>
              <w:rPr>
                <w:sz w:val="24"/>
                <w:szCs w:val="24"/>
              </w:rPr>
              <w:lastRenderedPageBreak/>
              <w:t>Changes to Universal Credit rates</w:t>
            </w:r>
          </w:p>
        </w:tc>
        <w:tc>
          <w:tcPr>
            <w:tcW w:w="1241" w:type="dxa"/>
          </w:tcPr>
          <w:p w14:paraId="10C3395A" w14:textId="77777777" w:rsidR="001C4CF8" w:rsidRDefault="001C4CF8">
            <w:pPr>
              <w:rPr>
                <w:sz w:val="24"/>
                <w:szCs w:val="24"/>
              </w:rPr>
            </w:pPr>
          </w:p>
        </w:tc>
        <w:tc>
          <w:tcPr>
            <w:tcW w:w="1336" w:type="dxa"/>
          </w:tcPr>
          <w:p w14:paraId="6F04E0B5" w14:textId="77777777" w:rsidR="001C4CF8" w:rsidRDefault="001C4CF8">
            <w:pPr>
              <w:rPr>
                <w:sz w:val="24"/>
                <w:szCs w:val="24"/>
              </w:rPr>
            </w:pPr>
            <w:r w:rsidRPr="001C4CF8">
              <w:rPr>
                <w:sz w:val="24"/>
                <w:szCs w:val="24"/>
              </w:rPr>
              <w:t>2.25 million current UC recipients</w:t>
            </w:r>
          </w:p>
          <w:p w14:paraId="7E99CD51" w14:textId="6C3BE57F" w:rsidR="001C4CF8" w:rsidRDefault="001C4CF8">
            <w:pPr>
              <w:rPr>
                <w:sz w:val="24"/>
                <w:szCs w:val="24"/>
              </w:rPr>
            </w:pPr>
            <w:r w:rsidRPr="001C4CF8">
              <w:rPr>
                <w:sz w:val="24"/>
                <w:szCs w:val="24"/>
              </w:rPr>
              <w:t>730,000 future UC recipients</w:t>
            </w:r>
          </w:p>
          <w:p w14:paraId="2C7BEA6B" w14:textId="4C4EDB5C" w:rsidR="001C4CF8" w:rsidRDefault="001C4CF8">
            <w:pPr>
              <w:rPr>
                <w:sz w:val="24"/>
                <w:szCs w:val="24"/>
              </w:rPr>
            </w:pPr>
          </w:p>
        </w:tc>
        <w:tc>
          <w:tcPr>
            <w:tcW w:w="5034" w:type="dxa"/>
          </w:tcPr>
          <w:p w14:paraId="517E3BC1" w14:textId="5990301E" w:rsidR="001C4CF8" w:rsidRDefault="001C4CF8">
            <w:pPr>
              <w:rPr>
                <w:sz w:val="24"/>
                <w:szCs w:val="24"/>
              </w:rPr>
            </w:pPr>
            <w:r>
              <w:rPr>
                <w:sz w:val="24"/>
                <w:szCs w:val="24"/>
              </w:rPr>
              <w:t>Current UC recipients</w:t>
            </w:r>
            <w:r w:rsidRPr="001C4CF8">
              <w:rPr>
                <w:sz w:val="24"/>
                <w:szCs w:val="24"/>
              </w:rPr>
              <w:t xml:space="preserve"> will be </w:t>
            </w:r>
            <w:r w:rsidR="00FB7104">
              <w:rPr>
                <w:sz w:val="24"/>
                <w:szCs w:val="24"/>
              </w:rPr>
              <w:t xml:space="preserve">adversely </w:t>
            </w:r>
            <w:r w:rsidRPr="001C4CF8">
              <w:rPr>
                <w:sz w:val="24"/>
                <w:szCs w:val="24"/>
              </w:rPr>
              <w:t xml:space="preserve">affected by freezing </w:t>
            </w:r>
            <w:r w:rsidR="005A1D79">
              <w:rPr>
                <w:sz w:val="24"/>
                <w:szCs w:val="24"/>
              </w:rPr>
              <w:t>UC LCWRA/ESA</w:t>
            </w:r>
            <w:r w:rsidRPr="001C4CF8">
              <w:rPr>
                <w:sz w:val="24"/>
                <w:szCs w:val="24"/>
              </w:rPr>
              <w:t xml:space="preserve"> with an average loss of £500, although this will be partially offset by the increase in the standard allowance of UC</w:t>
            </w:r>
            <w:r>
              <w:rPr>
                <w:sz w:val="24"/>
                <w:szCs w:val="24"/>
              </w:rPr>
              <w:t>.</w:t>
            </w:r>
          </w:p>
          <w:p w14:paraId="3A1C4391" w14:textId="2B0E6209" w:rsidR="001C4CF8" w:rsidRDefault="00FB7104">
            <w:pPr>
              <w:rPr>
                <w:sz w:val="24"/>
                <w:szCs w:val="24"/>
              </w:rPr>
            </w:pPr>
            <w:r>
              <w:rPr>
                <w:sz w:val="24"/>
                <w:szCs w:val="24"/>
              </w:rPr>
              <w:t xml:space="preserve">Future </w:t>
            </w:r>
            <w:r w:rsidR="001C4CF8" w:rsidRPr="001C4CF8">
              <w:rPr>
                <w:sz w:val="24"/>
                <w:szCs w:val="24"/>
              </w:rPr>
              <w:t>UC recipients will</w:t>
            </w:r>
            <w:r w:rsidR="001C4CF8">
              <w:rPr>
                <w:sz w:val="24"/>
                <w:szCs w:val="24"/>
              </w:rPr>
              <w:t xml:space="preserve"> </w:t>
            </w:r>
            <w:r>
              <w:rPr>
                <w:sz w:val="24"/>
                <w:szCs w:val="24"/>
              </w:rPr>
              <w:t xml:space="preserve">be adversely impacted by a 50% cut to the LCWRA component with </w:t>
            </w:r>
            <w:r w:rsidR="001C4CF8" w:rsidRPr="001C4CF8">
              <w:rPr>
                <w:sz w:val="24"/>
                <w:szCs w:val="24"/>
              </w:rPr>
              <w:t xml:space="preserve">average </w:t>
            </w:r>
            <w:r>
              <w:rPr>
                <w:sz w:val="24"/>
                <w:szCs w:val="24"/>
              </w:rPr>
              <w:t xml:space="preserve">losses </w:t>
            </w:r>
            <w:r w:rsidR="001C4CF8" w:rsidRPr="001C4CF8">
              <w:rPr>
                <w:sz w:val="24"/>
                <w:szCs w:val="24"/>
              </w:rPr>
              <w:t>of £3,000 per year</w:t>
            </w:r>
            <w:r w:rsidR="001C4CF8">
              <w:rPr>
                <w:sz w:val="24"/>
                <w:szCs w:val="24"/>
              </w:rPr>
              <w:t>.</w:t>
            </w:r>
          </w:p>
          <w:p w14:paraId="28DCD19B" w14:textId="6192B7D2" w:rsidR="001C4CF8" w:rsidRDefault="001C4CF8">
            <w:pPr>
              <w:rPr>
                <w:sz w:val="24"/>
                <w:szCs w:val="24"/>
              </w:rPr>
            </w:pPr>
          </w:p>
        </w:tc>
      </w:tr>
      <w:tr w:rsidR="005A1D79" w:rsidRPr="006E6B90" w14:paraId="3AD80A50" w14:textId="77777777" w:rsidTr="0070139F">
        <w:tc>
          <w:tcPr>
            <w:tcW w:w="1405" w:type="dxa"/>
          </w:tcPr>
          <w:p w14:paraId="5D6B67CE" w14:textId="77777777" w:rsidR="002C7460" w:rsidRDefault="002C7460">
            <w:pPr>
              <w:rPr>
                <w:sz w:val="24"/>
                <w:szCs w:val="24"/>
              </w:rPr>
            </w:pPr>
            <w:r>
              <w:rPr>
                <w:sz w:val="24"/>
                <w:szCs w:val="24"/>
              </w:rPr>
              <w:t>Raising the age of eligibility for out of work disability benefits to 22 years old.</w:t>
            </w:r>
          </w:p>
          <w:p w14:paraId="7FE4527E" w14:textId="56BF4DA5" w:rsidR="000751AC" w:rsidRDefault="000751AC">
            <w:pPr>
              <w:rPr>
                <w:sz w:val="24"/>
                <w:szCs w:val="24"/>
              </w:rPr>
            </w:pPr>
          </w:p>
        </w:tc>
        <w:tc>
          <w:tcPr>
            <w:tcW w:w="1241" w:type="dxa"/>
          </w:tcPr>
          <w:p w14:paraId="753D9D96" w14:textId="7944F29D" w:rsidR="002C7460" w:rsidRDefault="002C7460">
            <w:pPr>
              <w:rPr>
                <w:sz w:val="24"/>
                <w:szCs w:val="24"/>
              </w:rPr>
            </w:pPr>
          </w:p>
        </w:tc>
        <w:tc>
          <w:tcPr>
            <w:tcW w:w="1336" w:type="dxa"/>
          </w:tcPr>
          <w:p w14:paraId="57D38066" w14:textId="4EAB6742" w:rsidR="002C7460" w:rsidRDefault="00455440">
            <w:pPr>
              <w:rPr>
                <w:sz w:val="24"/>
                <w:szCs w:val="24"/>
              </w:rPr>
            </w:pPr>
            <w:r>
              <w:rPr>
                <w:sz w:val="24"/>
                <w:szCs w:val="24"/>
              </w:rPr>
              <w:t>?</w:t>
            </w:r>
          </w:p>
        </w:tc>
        <w:tc>
          <w:tcPr>
            <w:tcW w:w="5034" w:type="dxa"/>
          </w:tcPr>
          <w:p w14:paraId="67F19B19" w14:textId="5661DDC2" w:rsidR="002C7460" w:rsidRDefault="000751AC">
            <w:pPr>
              <w:rPr>
                <w:sz w:val="24"/>
                <w:szCs w:val="24"/>
              </w:rPr>
            </w:pPr>
            <w:r>
              <w:rPr>
                <w:sz w:val="24"/>
                <w:szCs w:val="24"/>
              </w:rPr>
              <w:t>Campaigners have warned that 3500 Disabled care leavers will be impacted by losses of around £5000.</w:t>
            </w:r>
          </w:p>
        </w:tc>
      </w:tr>
      <w:tr w:rsidR="005A1D79" w:rsidRPr="006E6B90" w14:paraId="6ED36F99" w14:textId="77777777" w:rsidTr="0070139F">
        <w:tc>
          <w:tcPr>
            <w:tcW w:w="1405" w:type="dxa"/>
          </w:tcPr>
          <w:p w14:paraId="70960574" w14:textId="45C9C64F" w:rsidR="003A2874" w:rsidRDefault="00AE2998">
            <w:pPr>
              <w:rPr>
                <w:sz w:val="24"/>
                <w:szCs w:val="24"/>
              </w:rPr>
            </w:pPr>
            <w:r>
              <w:rPr>
                <w:sz w:val="24"/>
                <w:szCs w:val="24"/>
              </w:rPr>
              <w:t>Abolition of the WCA – new “health” component of UC</w:t>
            </w:r>
          </w:p>
        </w:tc>
        <w:tc>
          <w:tcPr>
            <w:tcW w:w="1241" w:type="dxa"/>
          </w:tcPr>
          <w:p w14:paraId="465C1599" w14:textId="651C57FC" w:rsidR="003A2874" w:rsidRDefault="003A2874">
            <w:pPr>
              <w:rPr>
                <w:sz w:val="24"/>
                <w:szCs w:val="24"/>
              </w:rPr>
            </w:pPr>
          </w:p>
        </w:tc>
        <w:tc>
          <w:tcPr>
            <w:tcW w:w="1336" w:type="dxa"/>
          </w:tcPr>
          <w:p w14:paraId="55B55C22" w14:textId="01A44AF5" w:rsidR="003A2874" w:rsidRDefault="00AE2998">
            <w:pPr>
              <w:rPr>
                <w:sz w:val="24"/>
                <w:szCs w:val="24"/>
              </w:rPr>
            </w:pPr>
            <w:r>
              <w:rPr>
                <w:sz w:val="24"/>
                <w:szCs w:val="24"/>
              </w:rPr>
              <w:t>?</w:t>
            </w:r>
          </w:p>
        </w:tc>
        <w:tc>
          <w:tcPr>
            <w:tcW w:w="5034" w:type="dxa"/>
          </w:tcPr>
          <w:p w14:paraId="1822227F" w14:textId="27CAE3FE" w:rsidR="00455440" w:rsidRDefault="00455440">
            <w:pPr>
              <w:rPr>
                <w:sz w:val="24"/>
                <w:szCs w:val="24"/>
              </w:rPr>
            </w:pPr>
            <w:r w:rsidRPr="00455440">
              <w:rPr>
                <w:sz w:val="24"/>
                <w:szCs w:val="24"/>
              </w:rPr>
              <w:t>The OBR could not score this due to insufficient information from government.</w:t>
            </w:r>
          </w:p>
          <w:p w14:paraId="3DDFC489" w14:textId="4B20655B" w:rsidR="00AE2998" w:rsidRDefault="000751AC">
            <w:pPr>
              <w:rPr>
                <w:sz w:val="24"/>
                <w:szCs w:val="24"/>
              </w:rPr>
            </w:pPr>
            <w:r>
              <w:rPr>
                <w:sz w:val="24"/>
                <w:szCs w:val="24"/>
              </w:rPr>
              <w:t xml:space="preserve">Around 600,000 in receipt of UC LCWRA do not get PIP and will therefore lose eligibility for out of work disability benefits through the plan to abolish the WCA and instead make eligibility dependent upon eligibility for PIP. </w:t>
            </w:r>
            <w:r w:rsidR="009120E2">
              <w:rPr>
                <w:sz w:val="24"/>
                <w:szCs w:val="24"/>
              </w:rPr>
              <w:t>Another 6</w:t>
            </w:r>
            <w:r w:rsidR="00B84F32">
              <w:rPr>
                <w:sz w:val="24"/>
                <w:szCs w:val="24"/>
              </w:rPr>
              <w:t>8</w:t>
            </w:r>
            <w:r w:rsidR="009120E2">
              <w:rPr>
                <w:sz w:val="24"/>
                <w:szCs w:val="24"/>
              </w:rPr>
              <w:t xml:space="preserve">% of those in receipt of </w:t>
            </w:r>
            <w:r w:rsidR="00B84F32">
              <w:rPr>
                <w:sz w:val="24"/>
                <w:szCs w:val="24"/>
              </w:rPr>
              <w:t xml:space="preserve">both </w:t>
            </w:r>
            <w:r w:rsidR="009120E2">
              <w:rPr>
                <w:sz w:val="24"/>
                <w:szCs w:val="24"/>
              </w:rPr>
              <w:t xml:space="preserve">LCWRA </w:t>
            </w:r>
            <w:r w:rsidR="00B84F32">
              <w:rPr>
                <w:sz w:val="24"/>
                <w:szCs w:val="24"/>
              </w:rPr>
              <w:t xml:space="preserve">and </w:t>
            </w:r>
            <w:r w:rsidR="009120E2">
              <w:rPr>
                <w:sz w:val="24"/>
                <w:szCs w:val="24"/>
              </w:rPr>
              <w:t xml:space="preserve">PIP daily living did not score four points or more in any area. </w:t>
            </w:r>
          </w:p>
          <w:p w14:paraId="6764952B" w14:textId="6BDFD9C8" w:rsidR="00AE2998" w:rsidRDefault="000751AC" w:rsidP="00455440">
            <w:pPr>
              <w:tabs>
                <w:tab w:val="left" w:pos="2341"/>
              </w:tabs>
              <w:rPr>
                <w:sz w:val="24"/>
                <w:szCs w:val="24"/>
              </w:rPr>
            </w:pPr>
            <w:r>
              <w:rPr>
                <w:sz w:val="24"/>
                <w:szCs w:val="24"/>
              </w:rPr>
              <w:t>Existing claimants affected by the PIP cut</w:t>
            </w:r>
            <w:r w:rsidR="00455440">
              <w:rPr>
                <w:sz w:val="24"/>
                <w:szCs w:val="24"/>
              </w:rPr>
              <w:t xml:space="preserve"> </w:t>
            </w:r>
            <w:r w:rsidR="009120E2">
              <w:rPr>
                <w:sz w:val="24"/>
                <w:szCs w:val="24"/>
              </w:rPr>
              <w:t xml:space="preserve">who will also </w:t>
            </w:r>
            <w:r w:rsidR="00455440">
              <w:rPr>
                <w:sz w:val="24"/>
                <w:szCs w:val="24"/>
              </w:rPr>
              <w:t xml:space="preserve">lose eligibility for out of work disability benefits will be hit by a combined cut of </w:t>
            </w:r>
            <w:hyperlink r:id="rId10" w:anchor=":~:text=%5B1%5D%20The%20proposals%20to%20tackle,are%20linked%20to%20PIP%20eligibility." w:history="1">
              <w:r w:rsidR="00AE2998" w:rsidRPr="001C4CF8">
                <w:rPr>
                  <w:rStyle w:val="Hyperlink"/>
                  <w:sz w:val="24"/>
                  <w:szCs w:val="24"/>
                </w:rPr>
                <w:t>£9600+ per year</w:t>
              </w:r>
            </w:hyperlink>
            <w:r w:rsidR="00AE2998">
              <w:rPr>
                <w:sz w:val="24"/>
                <w:szCs w:val="24"/>
              </w:rPr>
              <w:t xml:space="preserve">, </w:t>
            </w:r>
            <w:r>
              <w:rPr>
                <w:sz w:val="24"/>
                <w:szCs w:val="24"/>
              </w:rPr>
              <w:t xml:space="preserve">57% of their income, </w:t>
            </w:r>
            <w:r w:rsidR="00AE2998">
              <w:rPr>
                <w:sz w:val="24"/>
                <w:szCs w:val="24"/>
              </w:rPr>
              <w:t xml:space="preserve">taking them from living just above the poverty line to official destitution with </w:t>
            </w:r>
            <w:r w:rsidR="001C4CF8">
              <w:rPr>
                <w:sz w:val="24"/>
                <w:szCs w:val="24"/>
              </w:rPr>
              <w:t xml:space="preserve">little to </w:t>
            </w:r>
            <w:r w:rsidR="00AE2998">
              <w:rPr>
                <w:sz w:val="24"/>
                <w:szCs w:val="24"/>
              </w:rPr>
              <w:t>no chance of employment.</w:t>
            </w:r>
          </w:p>
          <w:p w14:paraId="299C5E1E" w14:textId="74FFED55" w:rsidR="00AE2998" w:rsidRDefault="00AE2998" w:rsidP="00455440">
            <w:pPr>
              <w:rPr>
                <w:sz w:val="24"/>
                <w:szCs w:val="24"/>
              </w:rPr>
            </w:pPr>
          </w:p>
        </w:tc>
      </w:tr>
      <w:tr w:rsidR="005A1D79" w:rsidRPr="006E6B90" w14:paraId="34303658" w14:textId="77777777" w:rsidTr="0070139F">
        <w:tc>
          <w:tcPr>
            <w:tcW w:w="1405" w:type="dxa"/>
          </w:tcPr>
          <w:p w14:paraId="3C68D7E0" w14:textId="00B8333C" w:rsidR="00D55D87" w:rsidRDefault="00D55D87">
            <w:pPr>
              <w:rPr>
                <w:sz w:val="24"/>
                <w:szCs w:val="24"/>
              </w:rPr>
            </w:pPr>
            <w:r>
              <w:rPr>
                <w:sz w:val="24"/>
                <w:szCs w:val="24"/>
              </w:rPr>
              <w:t>Merging of contributions based JSA and ESA and time limiting awards</w:t>
            </w:r>
          </w:p>
        </w:tc>
        <w:tc>
          <w:tcPr>
            <w:tcW w:w="1241" w:type="dxa"/>
          </w:tcPr>
          <w:p w14:paraId="1D2E8D7C" w14:textId="77777777" w:rsidR="00D55D87" w:rsidRDefault="00D55D87">
            <w:pPr>
              <w:rPr>
                <w:sz w:val="24"/>
                <w:szCs w:val="24"/>
              </w:rPr>
            </w:pPr>
          </w:p>
        </w:tc>
        <w:tc>
          <w:tcPr>
            <w:tcW w:w="1336" w:type="dxa"/>
          </w:tcPr>
          <w:p w14:paraId="1DF6911C" w14:textId="3D59790E" w:rsidR="00D55D87" w:rsidRDefault="00DC167A">
            <w:pPr>
              <w:rPr>
                <w:sz w:val="24"/>
                <w:szCs w:val="24"/>
              </w:rPr>
            </w:pPr>
            <w:r>
              <w:rPr>
                <w:sz w:val="24"/>
                <w:szCs w:val="24"/>
              </w:rPr>
              <w:t>444,599</w:t>
            </w:r>
          </w:p>
        </w:tc>
        <w:tc>
          <w:tcPr>
            <w:tcW w:w="5034" w:type="dxa"/>
          </w:tcPr>
          <w:p w14:paraId="1729A874" w14:textId="34DD1EB0" w:rsidR="00DC167A" w:rsidRDefault="00DC167A" w:rsidP="00B84F32">
            <w:pPr>
              <w:rPr>
                <w:sz w:val="24"/>
                <w:szCs w:val="24"/>
              </w:rPr>
            </w:pPr>
            <w:r>
              <w:rPr>
                <w:sz w:val="24"/>
                <w:szCs w:val="24"/>
              </w:rPr>
              <w:t>This was the number of claimants on contributions-based ESA as at Aug 2024. With time limiting of awards, they will need to apply for Universal Credit. Some of them may not be eligible for UC, for example if they have savings above the threshold or their household income is too high. These are people who used to be in employment and paid National Insurance Contributions.</w:t>
            </w:r>
          </w:p>
        </w:tc>
      </w:tr>
    </w:tbl>
    <w:p w14:paraId="708380A4" w14:textId="77777777" w:rsidR="006E6B90" w:rsidRDefault="006E6B90"/>
    <w:sectPr w:rsidR="006E6B90" w:rsidSect="006E6B9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A0E70" w14:textId="77777777" w:rsidR="00B10521" w:rsidRDefault="00B10521" w:rsidP="00A431D3">
      <w:pPr>
        <w:spacing w:after="0" w:line="240" w:lineRule="auto"/>
      </w:pPr>
      <w:r>
        <w:separator/>
      </w:r>
    </w:p>
  </w:endnote>
  <w:endnote w:type="continuationSeparator" w:id="0">
    <w:p w14:paraId="120C673F" w14:textId="77777777" w:rsidR="00B10521" w:rsidRDefault="00B10521" w:rsidP="00A4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77E2" w14:textId="77777777" w:rsidR="002B435D" w:rsidRDefault="002B43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21337" w14:textId="77777777" w:rsidR="002B435D" w:rsidRDefault="002B43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85213" w14:textId="77777777" w:rsidR="002B435D" w:rsidRDefault="002B4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1F82B" w14:textId="77777777" w:rsidR="00B10521" w:rsidRDefault="00B10521" w:rsidP="00A431D3">
      <w:pPr>
        <w:spacing w:after="0" w:line="240" w:lineRule="auto"/>
      </w:pPr>
      <w:r>
        <w:separator/>
      </w:r>
    </w:p>
  </w:footnote>
  <w:footnote w:type="continuationSeparator" w:id="0">
    <w:p w14:paraId="21AD1956" w14:textId="77777777" w:rsidR="00B10521" w:rsidRDefault="00B10521" w:rsidP="00A43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8A676" w14:textId="05D275B3" w:rsidR="002B435D" w:rsidRDefault="002B43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080B2" w14:textId="75FA107E" w:rsidR="002B435D" w:rsidRDefault="002B43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D498C" w14:textId="37A9BD5D" w:rsidR="002B435D" w:rsidRDefault="002B43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D36F2"/>
    <w:multiLevelType w:val="hybridMultilevel"/>
    <w:tmpl w:val="5FB40ECE"/>
    <w:lvl w:ilvl="0" w:tplc="15465F9C">
      <w:start w:val="1"/>
      <w:numFmt w:val="bullet"/>
      <w:lvlText w:val="-"/>
      <w:lvlJc w:val="left"/>
      <w:pPr>
        <w:ind w:left="405" w:hanging="360"/>
      </w:pPr>
      <w:rPr>
        <w:rFonts w:ascii="Calibri" w:eastAsiaTheme="minorHAnsi" w:hAnsi="Calibri" w:cs="Calibri" w:hint="default"/>
      </w:rPr>
    </w:lvl>
    <w:lvl w:ilvl="1" w:tplc="08090003">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4B791B9E"/>
    <w:multiLevelType w:val="hybridMultilevel"/>
    <w:tmpl w:val="995E106E"/>
    <w:lvl w:ilvl="0" w:tplc="A1FE2B54">
      <w:start w:val="1"/>
      <w:numFmt w:val="bullet"/>
      <w:lvlText w:val="-"/>
      <w:lvlJc w:val="left"/>
      <w:pPr>
        <w:ind w:left="420" w:hanging="360"/>
      </w:pPr>
      <w:rPr>
        <w:rFonts w:ascii="Calibri" w:eastAsiaTheme="minorHAnsi"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69A81D5E"/>
    <w:multiLevelType w:val="hybridMultilevel"/>
    <w:tmpl w:val="09C0527E"/>
    <w:lvl w:ilvl="0" w:tplc="90B04AA4">
      <w:start w:val="1"/>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15:restartNumberingAfterBreak="0">
    <w:nsid w:val="7F7C0A59"/>
    <w:multiLevelType w:val="hybridMultilevel"/>
    <w:tmpl w:val="4DC84704"/>
    <w:lvl w:ilvl="0" w:tplc="AC34D09A">
      <w:start w:val="1"/>
      <w:numFmt w:val="bullet"/>
      <w:lvlText w:val="-"/>
      <w:lvlJc w:val="left"/>
      <w:pPr>
        <w:ind w:left="420" w:hanging="360"/>
      </w:pPr>
      <w:rPr>
        <w:rFonts w:ascii="Calibri" w:eastAsiaTheme="minorHAnsi" w:hAnsi="Calibri" w:cs="Calibri"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num w:numId="1" w16cid:durableId="1239751442">
    <w:abstractNumId w:val="2"/>
  </w:num>
  <w:num w:numId="2" w16cid:durableId="1817258103">
    <w:abstractNumId w:val="0"/>
  </w:num>
  <w:num w:numId="3" w16cid:durableId="220361273">
    <w:abstractNumId w:val="3"/>
  </w:num>
  <w:num w:numId="4" w16cid:durableId="11065856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B90"/>
    <w:rsid w:val="000751AC"/>
    <w:rsid w:val="00095D0D"/>
    <w:rsid w:val="001C4CF8"/>
    <w:rsid w:val="001F1BC3"/>
    <w:rsid w:val="001F1DA9"/>
    <w:rsid w:val="002844FC"/>
    <w:rsid w:val="002B435D"/>
    <w:rsid w:val="002C7460"/>
    <w:rsid w:val="002F2342"/>
    <w:rsid w:val="00312838"/>
    <w:rsid w:val="0032191F"/>
    <w:rsid w:val="003A2874"/>
    <w:rsid w:val="003A60BB"/>
    <w:rsid w:val="00455440"/>
    <w:rsid w:val="004F63DA"/>
    <w:rsid w:val="0050399F"/>
    <w:rsid w:val="005A1D79"/>
    <w:rsid w:val="005B3FDE"/>
    <w:rsid w:val="005B442F"/>
    <w:rsid w:val="00645A87"/>
    <w:rsid w:val="00665E43"/>
    <w:rsid w:val="00697481"/>
    <w:rsid w:val="006B68B9"/>
    <w:rsid w:val="006D4141"/>
    <w:rsid w:val="006E6B90"/>
    <w:rsid w:val="0070139F"/>
    <w:rsid w:val="007B1ADD"/>
    <w:rsid w:val="008B2688"/>
    <w:rsid w:val="009120E2"/>
    <w:rsid w:val="00A431D3"/>
    <w:rsid w:val="00A91E4B"/>
    <w:rsid w:val="00AE2998"/>
    <w:rsid w:val="00B06386"/>
    <w:rsid w:val="00B10521"/>
    <w:rsid w:val="00B50049"/>
    <w:rsid w:val="00B84F32"/>
    <w:rsid w:val="00BB5178"/>
    <w:rsid w:val="00BE1CFB"/>
    <w:rsid w:val="00D54A77"/>
    <w:rsid w:val="00D55D87"/>
    <w:rsid w:val="00D83B93"/>
    <w:rsid w:val="00D85124"/>
    <w:rsid w:val="00DC167A"/>
    <w:rsid w:val="00DD0456"/>
    <w:rsid w:val="00E51080"/>
    <w:rsid w:val="00EA7E22"/>
    <w:rsid w:val="00F60831"/>
    <w:rsid w:val="00FB71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C12CC"/>
  <w15:chartTrackingRefBased/>
  <w15:docId w15:val="{760A210C-71BB-4524-AAAE-7258547D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6B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E6B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E6B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E6B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6B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6B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6B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6B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6B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B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E6B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E6B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E6B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E6B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E6B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6B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6B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6B90"/>
    <w:rPr>
      <w:rFonts w:eastAsiaTheme="majorEastAsia" w:cstheme="majorBidi"/>
      <w:color w:val="272727" w:themeColor="text1" w:themeTint="D8"/>
    </w:rPr>
  </w:style>
  <w:style w:type="paragraph" w:styleId="Title">
    <w:name w:val="Title"/>
    <w:basedOn w:val="Normal"/>
    <w:next w:val="Normal"/>
    <w:link w:val="TitleChar"/>
    <w:uiPriority w:val="10"/>
    <w:qFormat/>
    <w:rsid w:val="006E6B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6B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6B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6B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6B90"/>
    <w:pPr>
      <w:spacing w:before="160"/>
      <w:jc w:val="center"/>
    </w:pPr>
    <w:rPr>
      <w:i/>
      <w:iCs/>
      <w:color w:val="404040" w:themeColor="text1" w:themeTint="BF"/>
    </w:rPr>
  </w:style>
  <w:style w:type="character" w:customStyle="1" w:styleId="QuoteChar">
    <w:name w:val="Quote Char"/>
    <w:basedOn w:val="DefaultParagraphFont"/>
    <w:link w:val="Quote"/>
    <w:uiPriority w:val="29"/>
    <w:rsid w:val="006E6B90"/>
    <w:rPr>
      <w:i/>
      <w:iCs/>
      <w:color w:val="404040" w:themeColor="text1" w:themeTint="BF"/>
    </w:rPr>
  </w:style>
  <w:style w:type="paragraph" w:styleId="ListParagraph">
    <w:name w:val="List Paragraph"/>
    <w:basedOn w:val="Normal"/>
    <w:uiPriority w:val="34"/>
    <w:qFormat/>
    <w:rsid w:val="006E6B90"/>
    <w:pPr>
      <w:ind w:left="720"/>
      <w:contextualSpacing/>
    </w:pPr>
  </w:style>
  <w:style w:type="character" w:styleId="IntenseEmphasis">
    <w:name w:val="Intense Emphasis"/>
    <w:basedOn w:val="DefaultParagraphFont"/>
    <w:uiPriority w:val="21"/>
    <w:qFormat/>
    <w:rsid w:val="006E6B90"/>
    <w:rPr>
      <w:i/>
      <w:iCs/>
      <w:color w:val="2F5496" w:themeColor="accent1" w:themeShade="BF"/>
    </w:rPr>
  </w:style>
  <w:style w:type="paragraph" w:styleId="IntenseQuote">
    <w:name w:val="Intense Quote"/>
    <w:basedOn w:val="Normal"/>
    <w:next w:val="Normal"/>
    <w:link w:val="IntenseQuoteChar"/>
    <w:uiPriority w:val="30"/>
    <w:qFormat/>
    <w:rsid w:val="006E6B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6B90"/>
    <w:rPr>
      <w:i/>
      <w:iCs/>
      <w:color w:val="2F5496" w:themeColor="accent1" w:themeShade="BF"/>
    </w:rPr>
  </w:style>
  <w:style w:type="character" w:styleId="IntenseReference">
    <w:name w:val="Intense Reference"/>
    <w:basedOn w:val="DefaultParagraphFont"/>
    <w:uiPriority w:val="32"/>
    <w:qFormat/>
    <w:rsid w:val="006E6B90"/>
    <w:rPr>
      <w:b/>
      <w:bCs/>
      <w:smallCaps/>
      <w:color w:val="2F5496" w:themeColor="accent1" w:themeShade="BF"/>
      <w:spacing w:val="5"/>
    </w:rPr>
  </w:style>
  <w:style w:type="table" w:styleId="TableGrid">
    <w:name w:val="Table Grid"/>
    <w:basedOn w:val="TableNormal"/>
    <w:uiPriority w:val="39"/>
    <w:rsid w:val="006E6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0049"/>
    <w:rPr>
      <w:color w:val="0563C1" w:themeColor="hyperlink"/>
      <w:u w:val="single"/>
    </w:rPr>
  </w:style>
  <w:style w:type="character" w:styleId="UnresolvedMention">
    <w:name w:val="Unresolved Mention"/>
    <w:basedOn w:val="DefaultParagraphFont"/>
    <w:uiPriority w:val="99"/>
    <w:semiHidden/>
    <w:unhideWhenUsed/>
    <w:rsid w:val="00B50049"/>
    <w:rPr>
      <w:color w:val="605E5C"/>
      <w:shd w:val="clear" w:color="auto" w:fill="E1DFDD"/>
    </w:rPr>
  </w:style>
  <w:style w:type="paragraph" w:styleId="FootnoteText">
    <w:name w:val="footnote text"/>
    <w:basedOn w:val="Normal"/>
    <w:link w:val="FootnoteTextChar"/>
    <w:uiPriority w:val="99"/>
    <w:semiHidden/>
    <w:unhideWhenUsed/>
    <w:rsid w:val="00A431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31D3"/>
    <w:rPr>
      <w:sz w:val="20"/>
      <w:szCs w:val="20"/>
    </w:rPr>
  </w:style>
  <w:style w:type="character" w:styleId="FootnoteReference">
    <w:name w:val="footnote reference"/>
    <w:basedOn w:val="DefaultParagraphFont"/>
    <w:uiPriority w:val="99"/>
    <w:semiHidden/>
    <w:unhideWhenUsed/>
    <w:rsid w:val="00A431D3"/>
    <w:rPr>
      <w:vertAlign w:val="superscript"/>
    </w:rPr>
  </w:style>
  <w:style w:type="paragraph" w:styleId="Header">
    <w:name w:val="header"/>
    <w:basedOn w:val="Normal"/>
    <w:link w:val="HeaderChar"/>
    <w:uiPriority w:val="99"/>
    <w:unhideWhenUsed/>
    <w:rsid w:val="002B43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35D"/>
  </w:style>
  <w:style w:type="paragraph" w:styleId="Footer">
    <w:name w:val="footer"/>
    <w:basedOn w:val="Normal"/>
    <w:link w:val="FooterChar"/>
    <w:uiPriority w:val="99"/>
    <w:unhideWhenUsed/>
    <w:rsid w:val="002B43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om/IainKPorter/status/190493782269750069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resolutionfoundation.org/publications/a-dangerous-road/" TargetMode="External"/><Relationship Id="rId4" Type="http://schemas.openxmlformats.org/officeDocument/2006/relationships/settings" Target="settings.xml"/><Relationship Id="rId9" Type="http://schemas.openxmlformats.org/officeDocument/2006/relationships/hyperlink" Target="https://assets.publishing.service.gov.uk/media/67e667fe4a226ab6c41b1fe2/spring-statement-2025-health-and-disability-benefit-reforms-impact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CE5C0-3D9C-44B4-84E9-5D95729B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6</cp:revision>
  <dcterms:created xsi:type="dcterms:W3CDTF">2025-04-29T00:26:00Z</dcterms:created>
  <dcterms:modified xsi:type="dcterms:W3CDTF">2025-04-29T01:16:00Z</dcterms:modified>
</cp:coreProperties>
</file>